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579E" w:rsidRDefault="009F579E" w:rsidP="00424761">
      <w:pPr>
        <w:pStyle w:val="Titre"/>
        <w:jc w:val="both"/>
      </w:pPr>
    </w:p>
    <w:p w:rsidR="009F579E" w:rsidRDefault="009F579E" w:rsidP="00424761">
      <w:pPr>
        <w:pStyle w:val="Titre"/>
        <w:jc w:val="both"/>
      </w:pPr>
    </w:p>
    <w:p w:rsidR="009F579E" w:rsidRDefault="009F579E" w:rsidP="00424761">
      <w:pPr>
        <w:pStyle w:val="Titre"/>
        <w:jc w:val="both"/>
      </w:pPr>
    </w:p>
    <w:p w:rsidR="009F579E" w:rsidRDefault="009F579E" w:rsidP="00424761">
      <w:pPr>
        <w:pStyle w:val="Titre"/>
        <w:jc w:val="both"/>
      </w:pPr>
    </w:p>
    <w:p w:rsidR="00AE2AA1" w:rsidRDefault="00AE2AA1" w:rsidP="00424761">
      <w:pPr>
        <w:pStyle w:val="Titre"/>
        <w:jc w:val="both"/>
      </w:pPr>
      <w:r>
        <w:t xml:space="preserve">Contrôle Interne </w:t>
      </w:r>
    </w:p>
    <w:p w:rsidR="00AE2AA1" w:rsidRDefault="00AE2AA1" w:rsidP="00424761">
      <w:pPr>
        <w:jc w:val="both"/>
      </w:pPr>
      <w:r>
        <w:t>Le présent rapport a pour objectif d’évaluer l’efficacité du dispositif de contrôle interne, notamment en matière de conformité réglementaire, d’organisation comptable et de suivi des risques. Il s’appuie sur l’analyse des réponses fournies dans les questionnaires et met en lumière les points forts, les points à améliorer ainsi que des recommandations pratiques.</w:t>
      </w:r>
    </w:p>
    <w:p w:rsidR="00424761" w:rsidRDefault="00424761" w:rsidP="00424761">
      <w:pPr>
        <w:jc w:val="both"/>
      </w:pPr>
    </w:p>
    <w:p w:rsidR="005217B0" w:rsidRDefault="005217B0" w:rsidP="005217B0">
      <w:pPr>
        <w:pStyle w:val="Titre1"/>
      </w:pPr>
      <w:r>
        <w:t>Partie Organisation / informatique</w:t>
      </w:r>
    </w:p>
    <w:p w:rsidR="003D62F6" w:rsidRPr="003D62F6" w:rsidRDefault="003D62F6" w:rsidP="003D62F6"/>
    <w:p w:rsidR="003D62F6" w:rsidRDefault="003D62F6" w:rsidP="005217B0">
      <w:pPr>
        <w:pStyle w:val="Titre2"/>
      </w:pPr>
      <w:r>
        <w:t>O</w:t>
      </w:r>
      <w:r w:rsidR="00A222B1">
        <w:t>rganigramme</w:t>
      </w:r>
    </w:p>
    <w:p w:rsidR="003D62F6" w:rsidRPr="003D62F6" w:rsidRDefault="003D62F6" w:rsidP="003D62F6">
      <w:pPr>
        <w:ind w:left="-851"/>
      </w:pPr>
      <w:r w:rsidRPr="003D62F6">
        <w:drawing>
          <wp:inline distT="0" distB="0" distL="0" distR="0" wp14:anchorId="2A0742F3" wp14:editId="45B97183">
            <wp:extent cx="7114891" cy="3459451"/>
            <wp:effectExtent l="0" t="0" r="0" b="825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7132057" cy="3467797"/>
                    </a:xfrm>
                    <a:prstGeom prst="rect">
                      <a:avLst/>
                    </a:prstGeom>
                  </pic:spPr>
                </pic:pic>
              </a:graphicData>
            </a:graphic>
          </wp:inline>
        </w:drawing>
      </w:r>
    </w:p>
    <w:p w:rsidR="003D1D6C" w:rsidRDefault="009F579E" w:rsidP="003D1D6C">
      <w:pPr>
        <w:pStyle w:val="Titre2"/>
      </w:pPr>
      <w:r>
        <w:lastRenderedPageBreak/>
        <w:t>Schéma des flux monétiques avec HEOH</w:t>
      </w:r>
    </w:p>
    <w:p w:rsidR="003D1D6C" w:rsidRPr="003D1D6C" w:rsidRDefault="003D1D6C" w:rsidP="009F579E">
      <w:pPr>
        <w:ind w:left="-1134"/>
      </w:pPr>
      <w:r w:rsidRPr="003D1D6C">
        <w:drawing>
          <wp:inline distT="0" distB="0" distL="0" distR="0" wp14:anchorId="11BD3A9F" wp14:editId="04AFC7EA">
            <wp:extent cx="6885731" cy="352806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4583" t="9512"/>
                    <a:stretch/>
                  </pic:blipFill>
                  <pic:spPr bwMode="auto">
                    <a:xfrm>
                      <a:off x="0" y="0"/>
                      <a:ext cx="6896470" cy="3533562"/>
                    </a:xfrm>
                    <a:prstGeom prst="rect">
                      <a:avLst/>
                    </a:prstGeom>
                    <a:ln>
                      <a:noFill/>
                    </a:ln>
                    <a:extLst>
                      <a:ext uri="{53640926-AAD7-44D8-BBD7-CCE9431645EC}">
                        <a14:shadowObscured xmlns:a14="http://schemas.microsoft.com/office/drawing/2010/main"/>
                      </a:ext>
                    </a:extLst>
                  </pic:spPr>
                </pic:pic>
              </a:graphicData>
            </a:graphic>
          </wp:inline>
        </w:drawing>
      </w:r>
    </w:p>
    <w:p w:rsidR="005217B0" w:rsidRDefault="005217B0" w:rsidP="00EA4A28">
      <w:pPr>
        <w:pStyle w:val="Titre1"/>
      </w:pPr>
      <w:r>
        <w:t xml:space="preserve">Conclusions </w:t>
      </w:r>
    </w:p>
    <w:p w:rsidR="005217B0" w:rsidRPr="005217B0" w:rsidRDefault="005217B0" w:rsidP="00EA4A28">
      <w:pPr>
        <w:pStyle w:val="Titre2"/>
      </w:pPr>
      <w:r w:rsidRPr="00424761">
        <w:t>Points positifs (forces)</w:t>
      </w:r>
    </w:p>
    <w:p w:rsidR="005217B0" w:rsidRPr="00424761" w:rsidRDefault="005217B0" w:rsidP="005217B0">
      <w:pPr>
        <w:numPr>
          <w:ilvl w:val="0"/>
          <w:numId w:val="1"/>
        </w:numPr>
        <w:jc w:val="both"/>
      </w:pPr>
      <w:r w:rsidRPr="00424761">
        <w:rPr>
          <w:b/>
          <w:bCs/>
        </w:rPr>
        <w:t>Budgets &amp; prévisionnel</w:t>
      </w:r>
      <w:r w:rsidRPr="00424761">
        <w:t xml:space="preserve"> : il existe un suivi budgétaire et des prévisions annuelles.</w:t>
      </w:r>
    </w:p>
    <w:p w:rsidR="005217B0" w:rsidRPr="00424761" w:rsidRDefault="005217B0" w:rsidP="005217B0">
      <w:pPr>
        <w:numPr>
          <w:ilvl w:val="0"/>
          <w:numId w:val="1"/>
        </w:numPr>
        <w:jc w:val="both"/>
      </w:pPr>
      <w:r w:rsidRPr="00424761">
        <w:rPr>
          <w:b/>
          <w:bCs/>
        </w:rPr>
        <w:t>Encadrement externe</w:t>
      </w:r>
      <w:r w:rsidRPr="00424761">
        <w:t xml:space="preserve"> : l’entreprise fait appel à un expert-comptable, un conseil juridique et fiscal.</w:t>
      </w:r>
    </w:p>
    <w:p w:rsidR="005217B0" w:rsidRPr="00424761" w:rsidRDefault="005217B0" w:rsidP="005217B0">
      <w:pPr>
        <w:numPr>
          <w:ilvl w:val="0"/>
          <w:numId w:val="1"/>
        </w:numPr>
        <w:jc w:val="both"/>
      </w:pPr>
      <w:r w:rsidRPr="00424761">
        <w:rPr>
          <w:b/>
          <w:bCs/>
        </w:rPr>
        <w:t>Respect réglementaire</w:t>
      </w:r>
      <w:r w:rsidRPr="00424761">
        <w:t xml:space="preserve"> : forte sensibilité aux obligations légales (notamment </w:t>
      </w:r>
      <w:r w:rsidRPr="00424761">
        <w:rPr>
          <w:b/>
          <w:bCs/>
        </w:rPr>
        <w:t>ACPR</w:t>
      </w:r>
      <w:r w:rsidRPr="00424761">
        <w:t>).</w:t>
      </w:r>
    </w:p>
    <w:p w:rsidR="00241CC2" w:rsidRPr="00424761" w:rsidRDefault="00241CC2" w:rsidP="00241CC2">
      <w:pPr>
        <w:numPr>
          <w:ilvl w:val="1"/>
          <w:numId w:val="1"/>
        </w:numPr>
        <w:jc w:val="both"/>
      </w:pPr>
      <w:r w:rsidRPr="00424761">
        <w:t>L’entreprise est en cours de mise en conformité avec le RGPD</w:t>
      </w:r>
      <w:r>
        <w:t xml:space="preserve"> via recours à un avocat spécialisé</w:t>
      </w:r>
      <w:r w:rsidRPr="00424761">
        <w:t>.</w:t>
      </w:r>
    </w:p>
    <w:p w:rsidR="005217B0" w:rsidRPr="00424761" w:rsidRDefault="005217B0" w:rsidP="005217B0">
      <w:pPr>
        <w:numPr>
          <w:ilvl w:val="0"/>
          <w:numId w:val="1"/>
        </w:numPr>
        <w:jc w:val="both"/>
      </w:pPr>
      <w:r w:rsidRPr="00424761">
        <w:rPr>
          <w:b/>
          <w:bCs/>
        </w:rPr>
        <w:t>Contrôles</w:t>
      </w:r>
      <w:r w:rsidRPr="00424761">
        <w:t xml:space="preserve"> : multiples niveaux de contrôles (ACPR, expert-comptable, interne).</w:t>
      </w:r>
    </w:p>
    <w:p w:rsidR="005217B0" w:rsidRPr="00424761" w:rsidRDefault="005217B0" w:rsidP="005217B0">
      <w:pPr>
        <w:numPr>
          <w:ilvl w:val="0"/>
          <w:numId w:val="1"/>
        </w:numPr>
        <w:jc w:val="both"/>
      </w:pPr>
      <w:r w:rsidRPr="00424761">
        <w:rPr>
          <w:b/>
          <w:bCs/>
        </w:rPr>
        <w:t>Direction impliquée</w:t>
      </w:r>
      <w:r w:rsidRPr="00424761">
        <w:t xml:space="preserve"> : bonne intégrité, implication </w:t>
      </w:r>
      <w:r>
        <w:t>des diri</w:t>
      </w:r>
      <w:r>
        <w:t xml:space="preserve">geants dans le contrôle interne, </w:t>
      </w:r>
      <w:r w:rsidRPr="00424761">
        <w:t>dans les autorisations et suivi des opérations.</w:t>
      </w:r>
    </w:p>
    <w:p w:rsidR="005217B0" w:rsidRPr="00424761" w:rsidRDefault="005217B0" w:rsidP="005217B0">
      <w:pPr>
        <w:numPr>
          <w:ilvl w:val="0"/>
          <w:numId w:val="1"/>
        </w:numPr>
        <w:jc w:val="both"/>
      </w:pPr>
      <w:r w:rsidRPr="00424761">
        <w:rPr>
          <w:b/>
          <w:bCs/>
        </w:rPr>
        <w:t>Comptabilité</w:t>
      </w:r>
      <w:r w:rsidRPr="00424761">
        <w:t xml:space="preserve"> : tenue à jour, informations fiables disponibles.</w:t>
      </w:r>
    </w:p>
    <w:p w:rsidR="00126E3C" w:rsidRPr="00424761" w:rsidRDefault="00126E3C" w:rsidP="00126E3C">
      <w:pPr>
        <w:numPr>
          <w:ilvl w:val="1"/>
          <w:numId w:val="1"/>
        </w:numPr>
        <w:jc w:val="both"/>
      </w:pPr>
      <w:r w:rsidRPr="00424761">
        <w:t>Les imputations comptables sont correctement assurées.</w:t>
      </w:r>
    </w:p>
    <w:p w:rsidR="00126E3C" w:rsidRPr="00424761" w:rsidRDefault="00126E3C" w:rsidP="00126E3C">
      <w:pPr>
        <w:numPr>
          <w:ilvl w:val="1"/>
          <w:numId w:val="1"/>
        </w:numPr>
        <w:jc w:val="both"/>
      </w:pPr>
      <w:r w:rsidRPr="00424761">
        <w:lastRenderedPageBreak/>
        <w:t>Les tarifs sont fixés par la direction via une grille tarifaire et appliqués sans dérogation.</w:t>
      </w:r>
    </w:p>
    <w:p w:rsidR="00241CC2" w:rsidRPr="00424761" w:rsidRDefault="00241CC2" w:rsidP="00241CC2">
      <w:pPr>
        <w:numPr>
          <w:ilvl w:val="1"/>
          <w:numId w:val="1"/>
        </w:numPr>
        <w:jc w:val="both"/>
      </w:pPr>
      <w:r w:rsidRPr="00424761">
        <w:t>Elle utilise un logiciel comptable informatisé à jour (IBIZA).</w:t>
      </w:r>
    </w:p>
    <w:p w:rsidR="00241CC2" w:rsidRPr="00424761" w:rsidRDefault="00241CC2" w:rsidP="00241CC2">
      <w:pPr>
        <w:numPr>
          <w:ilvl w:val="1"/>
          <w:numId w:val="1"/>
        </w:numPr>
        <w:jc w:val="both"/>
      </w:pPr>
      <w:r w:rsidRPr="00424761">
        <w:t>Les dates, numérotation des écritures et pièces justificatives sont vérifiables</w:t>
      </w:r>
      <w:r>
        <w:t xml:space="preserve"> mais soulignons que la </w:t>
      </w:r>
      <w:r>
        <w:t xml:space="preserve">piste d’audit </w:t>
      </w:r>
      <w:r w:rsidRPr="00424761">
        <w:t xml:space="preserve">est </w:t>
      </w:r>
      <w:r>
        <w:t>complexe</w:t>
      </w:r>
      <w:r w:rsidRPr="00424761">
        <w:t>.</w:t>
      </w:r>
    </w:p>
    <w:p w:rsidR="00241CC2" w:rsidRPr="00424761" w:rsidRDefault="00241CC2" w:rsidP="00241CC2">
      <w:pPr>
        <w:numPr>
          <w:ilvl w:val="1"/>
          <w:numId w:val="1"/>
        </w:numPr>
        <w:jc w:val="both"/>
      </w:pPr>
      <w:r w:rsidRPr="00424761">
        <w:t>La conformité formelle du FEC a été vérifiée.</w:t>
      </w:r>
    </w:p>
    <w:p w:rsidR="00126E3C" w:rsidRPr="00424761" w:rsidRDefault="00126E3C" w:rsidP="00126E3C">
      <w:pPr>
        <w:numPr>
          <w:ilvl w:val="0"/>
          <w:numId w:val="1"/>
        </w:numPr>
        <w:jc w:val="both"/>
      </w:pPr>
      <w:r w:rsidRPr="00424761">
        <w:rPr>
          <w:b/>
          <w:bCs/>
        </w:rPr>
        <w:t>Documentation comptable :</w:t>
      </w:r>
    </w:p>
    <w:p w:rsidR="00126E3C" w:rsidRPr="00424761" w:rsidRDefault="00126E3C" w:rsidP="00126E3C">
      <w:pPr>
        <w:numPr>
          <w:ilvl w:val="1"/>
          <w:numId w:val="1"/>
        </w:numPr>
        <w:jc w:val="both"/>
      </w:pPr>
      <w:r w:rsidRPr="00424761">
        <w:t>Les balances auxiliaires et la totalisation des journaux sont rapprochées via le FEC, mais pas dans un processus formalisé en interne.</w:t>
      </w:r>
    </w:p>
    <w:p w:rsidR="005217B0" w:rsidRPr="00424761" w:rsidRDefault="005217B0" w:rsidP="005217B0">
      <w:pPr>
        <w:numPr>
          <w:ilvl w:val="0"/>
          <w:numId w:val="1"/>
        </w:numPr>
        <w:jc w:val="both"/>
      </w:pPr>
      <w:r w:rsidRPr="00424761">
        <w:rPr>
          <w:b/>
          <w:bCs/>
        </w:rPr>
        <w:t>Transactions parties liées</w:t>
      </w:r>
      <w:r w:rsidRPr="00424761">
        <w:t xml:space="preserve"> : contrôles mis en place, autorisations validées par l’EC</w:t>
      </w:r>
      <w:r>
        <w:t>/CAC</w:t>
      </w:r>
      <w:r w:rsidRPr="00424761">
        <w:t>.</w:t>
      </w:r>
    </w:p>
    <w:p w:rsidR="005217B0" w:rsidRPr="00424761" w:rsidRDefault="005217B0" w:rsidP="005217B0">
      <w:pPr>
        <w:numPr>
          <w:ilvl w:val="0"/>
          <w:numId w:val="1"/>
        </w:numPr>
        <w:jc w:val="both"/>
      </w:pPr>
      <w:r w:rsidRPr="00424761">
        <w:rPr>
          <w:b/>
          <w:bCs/>
        </w:rPr>
        <w:t>Suivi du contrôle interne</w:t>
      </w:r>
      <w:r w:rsidRPr="00424761">
        <w:t xml:space="preserve"> : vérification régulière, corrections apportées si besoin.</w:t>
      </w:r>
    </w:p>
    <w:p w:rsidR="005217B0" w:rsidRDefault="005217B0" w:rsidP="005217B0">
      <w:pPr>
        <w:numPr>
          <w:ilvl w:val="0"/>
          <w:numId w:val="1"/>
        </w:numPr>
        <w:jc w:val="both"/>
      </w:pPr>
      <w:r w:rsidRPr="00424761">
        <w:rPr>
          <w:b/>
          <w:bCs/>
        </w:rPr>
        <w:t>Estimations comptables</w:t>
      </w:r>
      <w:r w:rsidRPr="00424761">
        <w:t xml:space="preserve"> : contrôles assurés par la direction + EC, prise en compte des antécédents.</w:t>
      </w:r>
      <w:r w:rsidRPr="005217B0">
        <w:t xml:space="preserve"> </w:t>
      </w:r>
      <w:r>
        <w:t>Procédures de facturation et de contrôle partiellement automatisées et fiables.</w:t>
      </w:r>
    </w:p>
    <w:p w:rsidR="005217B0" w:rsidRDefault="005217B0" w:rsidP="005217B0">
      <w:pPr>
        <w:numPr>
          <w:ilvl w:val="0"/>
          <w:numId w:val="1"/>
        </w:numPr>
        <w:jc w:val="both"/>
      </w:pPr>
      <w:r>
        <w:rPr>
          <w:b/>
          <w:bCs/>
        </w:rPr>
        <w:t>Juridique </w:t>
      </w:r>
      <w:r w:rsidRPr="005217B0">
        <w:t xml:space="preserve">: </w:t>
      </w:r>
      <w:r>
        <w:t>Contrats formalisé et signé systématiquement</w:t>
      </w:r>
      <w:r w:rsidR="009F579E">
        <w:t xml:space="preserve"> (les </w:t>
      </w:r>
      <w:r w:rsidR="009F579E">
        <w:t xml:space="preserve">versions </w:t>
      </w:r>
      <w:r w:rsidR="009F579E">
        <w:t xml:space="preserve">originales </w:t>
      </w:r>
      <w:bookmarkStart w:id="0" w:name="_GoBack"/>
      <w:bookmarkEnd w:id="0"/>
      <w:r w:rsidR="009F579E">
        <w:t>papier sont conservées et scannées)</w:t>
      </w:r>
    </w:p>
    <w:p w:rsidR="009F579E" w:rsidRPr="00424761" w:rsidRDefault="009F579E" w:rsidP="009F579E">
      <w:pPr>
        <w:ind w:left="720"/>
        <w:jc w:val="both"/>
      </w:pPr>
    </w:p>
    <w:p w:rsidR="005217B0" w:rsidRDefault="00A16505" w:rsidP="00EA4A28">
      <w:pPr>
        <w:pStyle w:val="Titre2"/>
      </w:pPr>
      <w:r>
        <w:t xml:space="preserve">Points faibles </w:t>
      </w:r>
    </w:p>
    <w:p w:rsidR="00126E3C" w:rsidRDefault="00126E3C" w:rsidP="00126E3C"/>
    <w:p w:rsidR="00126E3C" w:rsidRPr="00424761" w:rsidRDefault="00126E3C" w:rsidP="00126E3C">
      <w:pPr>
        <w:numPr>
          <w:ilvl w:val="0"/>
          <w:numId w:val="10"/>
        </w:numPr>
        <w:jc w:val="both"/>
      </w:pPr>
      <w:r w:rsidRPr="00424761">
        <w:rPr>
          <w:b/>
          <w:bCs/>
        </w:rPr>
        <w:t>Sécurité informatique</w:t>
      </w:r>
      <w:r w:rsidRPr="00424761">
        <w:t xml:space="preserve"> :</w:t>
      </w:r>
    </w:p>
    <w:p w:rsidR="00E6498F" w:rsidRPr="00424761" w:rsidRDefault="00E6498F" w:rsidP="00E6498F">
      <w:pPr>
        <w:numPr>
          <w:ilvl w:val="1"/>
          <w:numId w:val="10"/>
        </w:numPr>
        <w:jc w:val="both"/>
      </w:pPr>
      <w:r w:rsidRPr="00424761">
        <w:t xml:space="preserve">L’entreprise n’a pas de cartographie des risques cyber ni de scénarios d’attaque, mais les deux responsables </w:t>
      </w:r>
      <w:r>
        <w:t>(David et Gislain)</w:t>
      </w:r>
      <w:r w:rsidRPr="00424761">
        <w:t xml:space="preserve"> utilisent un code oral en cas de doute.</w:t>
      </w:r>
    </w:p>
    <w:p w:rsidR="00126E3C" w:rsidRPr="00424761" w:rsidRDefault="00126E3C" w:rsidP="00126E3C">
      <w:pPr>
        <w:numPr>
          <w:ilvl w:val="1"/>
          <w:numId w:val="10"/>
        </w:numPr>
        <w:jc w:val="both"/>
      </w:pPr>
      <w:r w:rsidRPr="00424761">
        <w:t>Pas de politique de sécurité ni de charte d’utilisation du SI.</w:t>
      </w:r>
    </w:p>
    <w:p w:rsidR="00126E3C" w:rsidRPr="00424761" w:rsidRDefault="00126E3C" w:rsidP="00126E3C">
      <w:pPr>
        <w:numPr>
          <w:ilvl w:val="1"/>
          <w:numId w:val="10"/>
        </w:numPr>
        <w:jc w:val="both"/>
      </w:pPr>
      <w:r w:rsidRPr="00424761">
        <w:t>Sauvegardes inexistantes, pas de plan de continuité ou de reprise d’activité.</w:t>
      </w:r>
      <w:r w:rsidR="00E6498F">
        <w:t xml:space="preserve"> </w:t>
      </w:r>
    </w:p>
    <w:p w:rsidR="00126E3C" w:rsidRPr="00424761" w:rsidRDefault="00E6498F" w:rsidP="00126E3C">
      <w:pPr>
        <w:numPr>
          <w:ilvl w:val="1"/>
          <w:numId w:val="10"/>
        </w:numPr>
        <w:jc w:val="both"/>
      </w:pPr>
      <w:r>
        <w:t>Pas de tests de restauration</w:t>
      </w:r>
      <w:r w:rsidR="00126E3C" w:rsidRPr="00424761">
        <w:t>.</w:t>
      </w:r>
    </w:p>
    <w:p w:rsidR="00126E3C" w:rsidRPr="00424761" w:rsidRDefault="00126E3C" w:rsidP="00126E3C">
      <w:pPr>
        <w:numPr>
          <w:ilvl w:val="1"/>
          <w:numId w:val="10"/>
        </w:numPr>
        <w:jc w:val="both"/>
      </w:pPr>
      <w:r w:rsidRPr="00424761">
        <w:t>Absence de pare-feu administré, de protection formalisée des accès réseau, et de journalisation des connexions.</w:t>
      </w:r>
    </w:p>
    <w:p w:rsidR="00126E3C" w:rsidRPr="00424761" w:rsidRDefault="00126E3C" w:rsidP="00126E3C">
      <w:pPr>
        <w:numPr>
          <w:ilvl w:val="1"/>
          <w:numId w:val="10"/>
        </w:numPr>
        <w:jc w:val="both"/>
      </w:pPr>
      <w:r w:rsidRPr="00424761">
        <w:t>Locaux informatiques non sécurisés (pas de badges ni caméras).</w:t>
      </w:r>
    </w:p>
    <w:p w:rsidR="00126E3C" w:rsidRPr="00424761" w:rsidRDefault="00126E3C" w:rsidP="00126E3C">
      <w:pPr>
        <w:numPr>
          <w:ilvl w:val="0"/>
          <w:numId w:val="10"/>
        </w:numPr>
        <w:jc w:val="both"/>
      </w:pPr>
      <w:r w:rsidRPr="00424761">
        <w:rPr>
          <w:b/>
          <w:bCs/>
        </w:rPr>
        <w:lastRenderedPageBreak/>
        <w:t>Protection des données personnelles</w:t>
      </w:r>
      <w:r w:rsidRPr="00424761">
        <w:t xml:space="preserve"> : sensibilisation insuffisante du personnel, mesures RGPD encore partielles (consentements, durée de conservation, transferts, notification des violations).</w:t>
      </w:r>
    </w:p>
    <w:p w:rsidR="00126E3C" w:rsidRPr="00424761" w:rsidRDefault="00126E3C" w:rsidP="00126E3C">
      <w:pPr>
        <w:numPr>
          <w:ilvl w:val="0"/>
          <w:numId w:val="10"/>
        </w:numPr>
        <w:jc w:val="both"/>
      </w:pPr>
      <w:r w:rsidRPr="00424761">
        <w:rPr>
          <w:b/>
          <w:bCs/>
        </w:rPr>
        <w:t>Gestion des accès</w:t>
      </w:r>
      <w:r w:rsidRPr="00424761">
        <w:t xml:space="preserve"> :</w:t>
      </w:r>
    </w:p>
    <w:p w:rsidR="00126E3C" w:rsidRPr="00424761" w:rsidRDefault="00126E3C" w:rsidP="00126E3C">
      <w:pPr>
        <w:numPr>
          <w:ilvl w:val="1"/>
          <w:numId w:val="10"/>
        </w:numPr>
        <w:jc w:val="both"/>
      </w:pPr>
      <w:r w:rsidRPr="00424761">
        <w:t>Pas de procédure formalisée d</w:t>
      </w:r>
      <w:r>
        <w:t>’attribution/retrait des droits, géré par David</w:t>
      </w:r>
    </w:p>
    <w:p w:rsidR="00126E3C" w:rsidRPr="00424761" w:rsidRDefault="00126E3C" w:rsidP="00126E3C">
      <w:pPr>
        <w:numPr>
          <w:ilvl w:val="1"/>
          <w:numId w:val="10"/>
        </w:numPr>
        <w:jc w:val="both"/>
      </w:pPr>
      <w:r w:rsidRPr="00424761">
        <w:t>Suivi des autorisations incomplet (pas de matrice).</w:t>
      </w:r>
    </w:p>
    <w:p w:rsidR="00126E3C" w:rsidRPr="00424761" w:rsidRDefault="00126E3C" w:rsidP="00126E3C">
      <w:pPr>
        <w:numPr>
          <w:ilvl w:val="1"/>
          <w:numId w:val="10"/>
        </w:numPr>
        <w:jc w:val="both"/>
      </w:pPr>
      <w:r w:rsidRPr="00424761">
        <w:t>Authentification forte uniquement pour la banque, pas de clés physiques.</w:t>
      </w:r>
    </w:p>
    <w:p w:rsidR="00126E3C" w:rsidRPr="00424761" w:rsidRDefault="00126E3C" w:rsidP="00126E3C">
      <w:pPr>
        <w:numPr>
          <w:ilvl w:val="0"/>
          <w:numId w:val="10"/>
        </w:numPr>
        <w:jc w:val="both"/>
      </w:pPr>
      <w:r w:rsidRPr="00424761">
        <w:rPr>
          <w:b/>
          <w:bCs/>
        </w:rPr>
        <w:t>Organisation interne</w:t>
      </w:r>
      <w:r w:rsidRPr="00424761">
        <w:t xml:space="preserve"> : séparation des tâches et gestion des congés clés reposent sur HEOH et non sur des procédures internes.</w:t>
      </w:r>
    </w:p>
    <w:p w:rsidR="00126E3C" w:rsidRPr="00126E3C" w:rsidRDefault="00126E3C" w:rsidP="00126E3C">
      <w:pPr>
        <w:numPr>
          <w:ilvl w:val="0"/>
          <w:numId w:val="10"/>
        </w:numPr>
        <w:jc w:val="both"/>
      </w:pPr>
      <w:r w:rsidRPr="00424761">
        <w:rPr>
          <w:b/>
          <w:bCs/>
        </w:rPr>
        <w:t>Risques liés aux opérations</w:t>
      </w:r>
      <w:r w:rsidRPr="00424761">
        <w:t xml:space="preserve"> : échanges de données (mail, transferts) non sécurisés, supports amovibles non encadrés, dépendances techniques non intégrées dans les projets.</w:t>
      </w:r>
    </w:p>
    <w:p w:rsidR="005217B0" w:rsidRPr="00424761" w:rsidRDefault="005217B0" w:rsidP="005217B0">
      <w:pPr>
        <w:numPr>
          <w:ilvl w:val="0"/>
          <w:numId w:val="2"/>
        </w:numPr>
        <w:jc w:val="both"/>
      </w:pPr>
      <w:r w:rsidRPr="00424761">
        <w:rPr>
          <w:b/>
          <w:bCs/>
        </w:rPr>
        <w:t>Documentation &amp; organisation</w:t>
      </w:r>
      <w:r w:rsidRPr="00424761">
        <w:t xml:space="preserve"> :</w:t>
      </w:r>
    </w:p>
    <w:p w:rsidR="005217B0" w:rsidRPr="00424761" w:rsidRDefault="005217B0" w:rsidP="005217B0">
      <w:pPr>
        <w:numPr>
          <w:ilvl w:val="1"/>
          <w:numId w:val="2"/>
        </w:numPr>
        <w:jc w:val="both"/>
      </w:pPr>
      <w:r w:rsidRPr="00424761">
        <w:t>Pas de manuel formalisé des procédures (bien que certaines existent).</w:t>
      </w:r>
    </w:p>
    <w:p w:rsidR="005217B0" w:rsidRPr="00424761" w:rsidRDefault="005217B0" w:rsidP="005217B0">
      <w:pPr>
        <w:numPr>
          <w:ilvl w:val="1"/>
          <w:numId w:val="2"/>
        </w:numPr>
        <w:jc w:val="both"/>
      </w:pPr>
      <w:r w:rsidRPr="00424761">
        <w:t>Plan d’organisation non documenté.</w:t>
      </w:r>
    </w:p>
    <w:p w:rsidR="00EA4A28" w:rsidRDefault="005217B0" w:rsidP="00EA4A28">
      <w:pPr>
        <w:numPr>
          <w:ilvl w:val="0"/>
          <w:numId w:val="2"/>
        </w:numPr>
        <w:jc w:val="both"/>
      </w:pPr>
      <w:r w:rsidRPr="00424761">
        <w:rPr>
          <w:b/>
          <w:bCs/>
        </w:rPr>
        <w:t>Séparation des tâches et responsabilités</w:t>
      </w:r>
      <w:r w:rsidRPr="00424761">
        <w:t xml:space="preserve"> :</w:t>
      </w:r>
    </w:p>
    <w:p w:rsidR="00EA4A28" w:rsidRPr="00424761" w:rsidRDefault="00EA4A28" w:rsidP="00EA4A28">
      <w:pPr>
        <w:numPr>
          <w:ilvl w:val="1"/>
          <w:numId w:val="2"/>
        </w:numPr>
        <w:jc w:val="both"/>
      </w:pPr>
      <w:r w:rsidRPr="00EA4A28">
        <w:rPr>
          <w:bCs/>
        </w:rPr>
        <w:t xml:space="preserve">Connaissance </w:t>
      </w:r>
      <w:r w:rsidRPr="00EA4A28">
        <w:t>des fonctions</w:t>
      </w:r>
      <w:r>
        <w:t xml:space="preserve"> des employés parfois limités.</w:t>
      </w:r>
    </w:p>
    <w:p w:rsidR="005217B0" w:rsidRPr="00424761" w:rsidRDefault="005217B0" w:rsidP="005217B0">
      <w:pPr>
        <w:numPr>
          <w:ilvl w:val="1"/>
          <w:numId w:val="2"/>
        </w:numPr>
        <w:jc w:val="both"/>
      </w:pPr>
      <w:r w:rsidRPr="00424761">
        <w:t>Forte dépendance au personnel HEOH.</w:t>
      </w:r>
    </w:p>
    <w:p w:rsidR="005217B0" w:rsidRPr="00424761" w:rsidRDefault="005217B0" w:rsidP="005217B0">
      <w:pPr>
        <w:numPr>
          <w:ilvl w:val="0"/>
          <w:numId w:val="2"/>
        </w:numPr>
        <w:jc w:val="both"/>
      </w:pPr>
      <w:r w:rsidRPr="00424761">
        <w:rPr>
          <w:b/>
          <w:bCs/>
        </w:rPr>
        <w:t>Estimation comptable</w:t>
      </w:r>
      <w:r w:rsidRPr="00424761">
        <w:t xml:space="preserve"> :</w:t>
      </w:r>
    </w:p>
    <w:p w:rsidR="00EA4A28" w:rsidRDefault="005217B0" w:rsidP="00EA4A28">
      <w:pPr>
        <w:numPr>
          <w:ilvl w:val="1"/>
          <w:numId w:val="2"/>
        </w:numPr>
        <w:jc w:val="both"/>
      </w:pPr>
      <w:r w:rsidRPr="00424761">
        <w:t>Pas encore de documentation détaillée sur méthodes, hypothèses et données utilisées pour les estimations.</w:t>
      </w:r>
      <w:r w:rsidRPr="005217B0">
        <w:t xml:space="preserve"> </w:t>
      </w:r>
      <w:r>
        <w:t xml:space="preserve">Absence de manuel de procédures formalisé, bien que des pratiques existent (en cours de </w:t>
      </w:r>
      <w:proofErr w:type="spellStart"/>
      <w:r>
        <w:t>redaction</w:t>
      </w:r>
      <w:proofErr w:type="spellEnd"/>
      <w:r>
        <w:t>)</w:t>
      </w:r>
      <w:r w:rsidR="00EA4A28" w:rsidRPr="00EA4A28">
        <w:t xml:space="preserve"> </w:t>
      </w:r>
    </w:p>
    <w:p w:rsidR="005217B0" w:rsidRPr="00424761" w:rsidRDefault="005217B0" w:rsidP="005217B0">
      <w:pPr>
        <w:numPr>
          <w:ilvl w:val="0"/>
          <w:numId w:val="2"/>
        </w:numPr>
        <w:jc w:val="both"/>
      </w:pPr>
      <w:r w:rsidRPr="00424761">
        <w:rPr>
          <w:b/>
          <w:bCs/>
        </w:rPr>
        <w:t xml:space="preserve">Améliorations </w:t>
      </w:r>
      <w:proofErr w:type="spellStart"/>
      <w:r w:rsidRPr="00424761">
        <w:rPr>
          <w:b/>
          <w:bCs/>
        </w:rPr>
        <w:t>process</w:t>
      </w:r>
      <w:proofErr w:type="spellEnd"/>
      <w:r w:rsidRPr="00424761">
        <w:t xml:space="preserve"> :</w:t>
      </w:r>
    </w:p>
    <w:p w:rsidR="00EA4A28" w:rsidRPr="00424761" w:rsidRDefault="005217B0" w:rsidP="00EA4A28">
      <w:pPr>
        <w:numPr>
          <w:ilvl w:val="1"/>
          <w:numId w:val="2"/>
        </w:numPr>
        <w:jc w:val="both"/>
      </w:pPr>
      <w:r w:rsidRPr="00424761">
        <w:t>Changements fréquents mais parfois uniquement à la marge → besoin de formaliser davantage les évolutions.</w:t>
      </w:r>
    </w:p>
    <w:p w:rsidR="00EA4A28" w:rsidRDefault="005217B0" w:rsidP="00EA4A28">
      <w:pPr>
        <w:pStyle w:val="Titre2"/>
      </w:pPr>
      <w:r w:rsidRPr="00424761">
        <w:t>Conclusion générale</w:t>
      </w:r>
      <w:r w:rsidR="00EA4A28" w:rsidRPr="00EA4A28">
        <w:t xml:space="preserve"> </w:t>
      </w:r>
      <w:r w:rsidR="00EA4A28">
        <w:t xml:space="preserve">et </w:t>
      </w:r>
      <w:r w:rsidR="00EA4A28">
        <w:t>Recomma</w:t>
      </w:r>
      <w:r w:rsidR="00EA4A28" w:rsidRPr="00EA4A28">
        <w:t>ndations </w:t>
      </w:r>
    </w:p>
    <w:p w:rsidR="00EA4A28" w:rsidRDefault="00EA4A28" w:rsidP="00EA4A28">
      <w:pPr>
        <w:jc w:val="both"/>
      </w:pPr>
      <w:r>
        <w:t xml:space="preserve">Le dispositif de contrôle interne d’HEOH apparaît globalement satisfaisant, avec un risque faible identifié grâce aux contrôles permanents de l’ACPR et aux interventions régulières de l’expert-comptable et du commissaire aux comptes. </w:t>
      </w:r>
    </w:p>
    <w:p w:rsidR="00EA4A28" w:rsidRPr="00EA4A28" w:rsidRDefault="00EA4A28" w:rsidP="00EA4A28">
      <w:pPr>
        <w:jc w:val="both"/>
      </w:pPr>
      <w:r>
        <w:lastRenderedPageBreak/>
        <w:t>Néanmoins, certaines améliorations organisationnelles et procédurales</w:t>
      </w:r>
      <w:r>
        <w:t xml:space="preserve"> chez HEOH PAYEMENT </w:t>
      </w:r>
      <w:r>
        <w:t>permettraient de renforcer encore davantage la fiabilité et la traçabilité des opérations.</w:t>
      </w:r>
    </w:p>
    <w:p w:rsidR="00E6498F" w:rsidRPr="00E6498F" w:rsidRDefault="005217B0" w:rsidP="00E6498F">
      <w:pPr>
        <w:numPr>
          <w:ilvl w:val="0"/>
          <w:numId w:val="3"/>
        </w:numPr>
        <w:jc w:val="both"/>
      </w:pPr>
      <w:r w:rsidRPr="00424761">
        <w:rPr>
          <w:b/>
          <w:bCs/>
        </w:rPr>
        <w:t>Risque global faible</w:t>
      </w:r>
      <w:r w:rsidRPr="00424761">
        <w:t xml:space="preserve"> grâce aux contrôles permanents (ACPR, EC, interne).</w:t>
      </w:r>
      <w:r w:rsidR="00E6498F" w:rsidRPr="00E6498F">
        <w:rPr>
          <w:b/>
          <w:bCs/>
        </w:rPr>
        <w:t xml:space="preserve"> </w:t>
      </w:r>
    </w:p>
    <w:p w:rsidR="005217B0" w:rsidRPr="00424761" w:rsidRDefault="005217B0" w:rsidP="005217B0">
      <w:pPr>
        <w:numPr>
          <w:ilvl w:val="0"/>
          <w:numId w:val="3"/>
        </w:numPr>
        <w:jc w:val="both"/>
      </w:pPr>
      <w:r w:rsidRPr="00424761">
        <w:t xml:space="preserve">Points critiques surtout liés à la </w:t>
      </w:r>
      <w:r w:rsidRPr="00424761">
        <w:rPr>
          <w:b/>
          <w:bCs/>
        </w:rPr>
        <w:t>formalisation et la documentation</w:t>
      </w:r>
      <w:r w:rsidRPr="00424761">
        <w:t xml:space="preserve"> : manuel des procédures, séparation des tâches, informations sur le processus d’estimation.</w:t>
      </w:r>
    </w:p>
    <w:p w:rsidR="00424761" w:rsidRDefault="005217B0" w:rsidP="00EA4A28">
      <w:pPr>
        <w:numPr>
          <w:ilvl w:val="0"/>
          <w:numId w:val="3"/>
        </w:numPr>
        <w:jc w:val="both"/>
      </w:pPr>
      <w:r w:rsidRPr="00424761">
        <w:t xml:space="preserve">Il serait recommandé de </w:t>
      </w:r>
      <w:r w:rsidRPr="00424761">
        <w:rPr>
          <w:b/>
          <w:bCs/>
        </w:rPr>
        <w:t>compiler et mettre à jour un manuel unique de procédures</w:t>
      </w:r>
      <w:r w:rsidRPr="00424761">
        <w:t xml:space="preserve">, et de </w:t>
      </w:r>
      <w:r w:rsidRPr="00424761">
        <w:rPr>
          <w:b/>
          <w:bCs/>
        </w:rPr>
        <w:t>documenter davantage les métho</w:t>
      </w:r>
      <w:r w:rsidR="00EA4A28">
        <w:rPr>
          <w:b/>
          <w:bCs/>
        </w:rPr>
        <w:t xml:space="preserve">des d’estimations comptables et </w:t>
      </w:r>
      <w:r w:rsidRPr="00EA4A28">
        <w:rPr>
          <w:b/>
          <w:bCs/>
        </w:rPr>
        <w:t>organisationnelles</w:t>
      </w:r>
      <w:r w:rsidRPr="00424761">
        <w:t>.</w:t>
      </w:r>
    </w:p>
    <w:p w:rsidR="00E6498F" w:rsidRPr="00424761" w:rsidRDefault="00E6498F" w:rsidP="00E6498F">
      <w:pPr>
        <w:numPr>
          <w:ilvl w:val="0"/>
          <w:numId w:val="3"/>
        </w:numPr>
        <w:jc w:val="both"/>
      </w:pPr>
      <w:r w:rsidRPr="00424761">
        <w:rPr>
          <w:b/>
          <w:bCs/>
        </w:rPr>
        <w:t>Faiblesses critiques</w:t>
      </w:r>
      <w:r w:rsidRPr="00424761">
        <w:t xml:space="preserve"> : gouvernance informatique quasi inexistante (sauvegardes, continuité, sécurité réseau et accès) et documentation interne insuffisante.</w:t>
      </w:r>
    </w:p>
    <w:p w:rsidR="00E6498F" w:rsidRPr="00424761" w:rsidRDefault="00E6498F" w:rsidP="00E6498F">
      <w:pPr>
        <w:numPr>
          <w:ilvl w:val="0"/>
          <w:numId w:val="3"/>
        </w:numPr>
        <w:jc w:val="both"/>
      </w:pPr>
      <w:r w:rsidRPr="00424761">
        <w:rPr>
          <w:b/>
          <w:bCs/>
        </w:rPr>
        <w:t>Points de vigilance</w:t>
      </w:r>
      <w:r w:rsidRPr="00424761">
        <w:t xml:space="preserve"> : mise en conformité RGPD à finaliser</w:t>
      </w:r>
      <w:r>
        <w:t xml:space="preserve"> avec l’avocat</w:t>
      </w:r>
      <w:r w:rsidRPr="00424761">
        <w:t xml:space="preserve">, formalisation des procédures à renforcer, </w:t>
      </w:r>
      <w:proofErr w:type="spellStart"/>
      <w:r w:rsidRPr="00424761">
        <w:t>cybersécurité</w:t>
      </w:r>
      <w:proofErr w:type="spellEnd"/>
      <w:r w:rsidRPr="00424761">
        <w:t xml:space="preserve"> à structurer.</w:t>
      </w:r>
    </w:p>
    <w:p w:rsidR="00EA4A28" w:rsidRDefault="00EA4A28" w:rsidP="00424761">
      <w:pPr>
        <w:jc w:val="both"/>
        <w:rPr>
          <w:b/>
          <w:color w:val="5B9BD5" w:themeColor="accent1"/>
          <w:sz w:val="28"/>
        </w:rPr>
      </w:pPr>
    </w:p>
    <w:p w:rsidR="00AE2AA1" w:rsidRPr="00EA4A28" w:rsidRDefault="00EA4A28" w:rsidP="00424761">
      <w:pPr>
        <w:jc w:val="both"/>
        <w:rPr>
          <w:b/>
          <w:color w:val="5B9BD5" w:themeColor="accent1"/>
          <w:sz w:val="28"/>
        </w:rPr>
      </w:pPr>
      <w:r w:rsidRPr="00EA4A28">
        <w:rPr>
          <w:b/>
          <w:color w:val="5B9BD5" w:themeColor="accent1"/>
          <w:sz w:val="28"/>
        </w:rPr>
        <w:t>Recommandation</w:t>
      </w:r>
      <w:r>
        <w:rPr>
          <w:b/>
          <w:color w:val="5B9BD5" w:themeColor="accent1"/>
          <w:sz w:val="28"/>
        </w:rPr>
        <w:t>s</w:t>
      </w:r>
      <w:r w:rsidRPr="00EA4A28">
        <w:rPr>
          <w:b/>
          <w:color w:val="5B9BD5" w:themeColor="accent1"/>
          <w:sz w:val="28"/>
        </w:rPr>
        <w:t> :</w:t>
      </w:r>
    </w:p>
    <w:p w:rsidR="00424761" w:rsidRDefault="00AE2AA1" w:rsidP="00EA4A28">
      <w:pPr>
        <w:pStyle w:val="Paragraphedeliste"/>
        <w:numPr>
          <w:ilvl w:val="0"/>
          <w:numId w:val="24"/>
        </w:numPr>
        <w:spacing w:before="120"/>
        <w:ind w:left="714" w:hanging="357"/>
        <w:contextualSpacing w:val="0"/>
        <w:jc w:val="both"/>
      </w:pPr>
      <w:r>
        <w:t>Formaliser un manuel de procédures regroupant l’ensemble des pratiques existantes.</w:t>
      </w:r>
    </w:p>
    <w:p w:rsidR="00424761" w:rsidRDefault="00AE2AA1" w:rsidP="00EA4A28">
      <w:pPr>
        <w:pStyle w:val="Paragraphedeliste"/>
        <w:numPr>
          <w:ilvl w:val="0"/>
          <w:numId w:val="24"/>
        </w:numPr>
        <w:spacing w:before="120"/>
        <w:ind w:left="714" w:hanging="357"/>
        <w:contextualSpacing w:val="0"/>
        <w:jc w:val="both"/>
      </w:pPr>
      <w:r>
        <w:t>Améliorer la séparation des tâches et préciser les responsabilités de chaque employé.</w:t>
      </w:r>
    </w:p>
    <w:p w:rsidR="00424761" w:rsidRDefault="00AE2AA1" w:rsidP="00EA4A28">
      <w:pPr>
        <w:pStyle w:val="Paragraphedeliste"/>
        <w:numPr>
          <w:ilvl w:val="0"/>
          <w:numId w:val="24"/>
        </w:numPr>
        <w:spacing w:before="120"/>
        <w:ind w:left="714" w:hanging="357"/>
        <w:contextualSpacing w:val="0"/>
        <w:jc w:val="both"/>
      </w:pPr>
      <w:r>
        <w:t>Mettre en place une procédure systématique pour le suiv</w:t>
      </w:r>
      <w:r w:rsidR="00424761">
        <w:t>i des congés des employés clés</w:t>
      </w:r>
      <w:r w:rsidR="00EA4A28">
        <w:t xml:space="preserve"> d’HEOH intervenants</w:t>
      </w:r>
      <w:r w:rsidR="00E6498F">
        <w:t xml:space="preserve"> sur </w:t>
      </w:r>
      <w:r w:rsidR="00EA4A28">
        <w:t>HEOH PAYEMENT</w:t>
      </w:r>
      <w:r w:rsidR="00424761">
        <w:t>.</w:t>
      </w:r>
    </w:p>
    <w:p w:rsidR="00424761" w:rsidRDefault="00AE2AA1" w:rsidP="00EA4A28">
      <w:pPr>
        <w:pStyle w:val="Paragraphedeliste"/>
        <w:numPr>
          <w:ilvl w:val="0"/>
          <w:numId w:val="24"/>
        </w:numPr>
        <w:spacing w:before="120"/>
        <w:ind w:left="714" w:hanging="357"/>
        <w:contextualSpacing w:val="0"/>
        <w:jc w:val="both"/>
      </w:pPr>
      <w:r>
        <w:t>Documenter davantage les méthodes, hypothèses et données utilisées p</w:t>
      </w:r>
      <w:r w:rsidR="00EA4A28">
        <w:t xml:space="preserve">our les estimations comptables, notamment concernant les </w:t>
      </w:r>
    </w:p>
    <w:p w:rsidR="00424761" w:rsidRDefault="00AE2AA1" w:rsidP="00EA4A28">
      <w:pPr>
        <w:pStyle w:val="Paragraphedeliste"/>
        <w:numPr>
          <w:ilvl w:val="0"/>
          <w:numId w:val="24"/>
        </w:numPr>
        <w:spacing w:before="120"/>
        <w:ind w:left="714" w:hanging="357"/>
        <w:contextualSpacing w:val="0"/>
        <w:jc w:val="both"/>
      </w:pPr>
      <w:r>
        <w:t>Renforcer le rapprochement systématique entre bons d’ex</w:t>
      </w:r>
      <w:r w:rsidR="00424761">
        <w:t>pédition/retour et facturation.</w:t>
      </w:r>
    </w:p>
    <w:p w:rsidR="00424761" w:rsidRDefault="00AE2AA1" w:rsidP="00EA4A28">
      <w:pPr>
        <w:pStyle w:val="Paragraphedeliste"/>
        <w:numPr>
          <w:ilvl w:val="0"/>
          <w:numId w:val="24"/>
        </w:numPr>
        <w:spacing w:before="120"/>
        <w:ind w:left="714" w:hanging="357"/>
        <w:contextualSpacing w:val="0"/>
        <w:jc w:val="both"/>
      </w:pPr>
      <w:r>
        <w:t>Poursuivre l’amélioration progressive des processus et leur traçabilité.</w:t>
      </w:r>
    </w:p>
    <w:p w:rsidR="00EA4A28" w:rsidRPr="00AE2AA1" w:rsidRDefault="00EA4A28">
      <w:pPr>
        <w:jc w:val="both"/>
      </w:pPr>
    </w:p>
    <w:sectPr w:rsidR="00EA4A28" w:rsidRPr="00AE2AA1" w:rsidSect="00034616">
      <w:headerReference w:type="default" r:id="rId10"/>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9FD" w:rsidRDefault="006469FD" w:rsidP="005217B0">
      <w:pPr>
        <w:spacing w:after="0" w:line="240" w:lineRule="auto"/>
      </w:pPr>
      <w:r>
        <w:separator/>
      </w:r>
    </w:p>
  </w:endnote>
  <w:endnote w:type="continuationSeparator" w:id="0">
    <w:p w:rsidR="006469FD" w:rsidRDefault="006469FD" w:rsidP="00521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79E" w:rsidRPr="009F579E" w:rsidRDefault="009F579E" w:rsidP="009F579E">
    <w:pPr>
      <w:pStyle w:val="Pieddepage"/>
      <w:rPr>
        <w:sz w:val="20"/>
      </w:rPr>
    </w:pPr>
    <w:r>
      <w:rPr>
        <w:noProof/>
        <w:sz w:val="20"/>
        <w:lang w:eastAsia="fr-FR"/>
      </w:rPr>
      <mc:AlternateContent>
        <mc:Choice Requires="wps">
          <w:drawing>
            <wp:anchor distT="0" distB="0" distL="114300" distR="114300" simplePos="0" relativeHeight="251659264" behindDoc="0" locked="0" layoutInCell="1" allowOverlap="1">
              <wp:simplePos x="0" y="0"/>
              <wp:positionH relativeFrom="column">
                <wp:posOffset>-403860</wp:posOffset>
              </wp:positionH>
              <wp:positionV relativeFrom="paragraph">
                <wp:posOffset>-40640</wp:posOffset>
              </wp:positionV>
              <wp:extent cx="6073140" cy="0"/>
              <wp:effectExtent l="0" t="0" r="22860" b="19050"/>
              <wp:wrapNone/>
              <wp:docPr id="3" name="Connecteur droit 3"/>
              <wp:cNvGraphicFramePr/>
              <a:graphic xmlns:a="http://schemas.openxmlformats.org/drawingml/2006/main">
                <a:graphicData uri="http://schemas.microsoft.com/office/word/2010/wordprocessingShape">
                  <wps:wsp>
                    <wps:cNvCnPr/>
                    <wps:spPr>
                      <a:xfrm>
                        <a:off x="0" y="0"/>
                        <a:ext cx="607314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DE98D96" id="Connecteur droit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1.8pt,-3.2pt" to="446.4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" strokecolor="#5b9bd5 [3204]" strokeweight=".5pt">
              <v:stroke joinstyle="miter"/>
            </v:line>
          </w:pict>
        </mc:Fallback>
      </mc:AlternateContent>
    </w:r>
    <w:r w:rsidRPr="009F579E">
      <w:rPr>
        <w:sz w:val="20"/>
      </w:rPr>
      <w:t>Clôture 31/12/2024</w:t>
    </w:r>
  </w:p>
  <w:p w:rsidR="009F579E" w:rsidRPr="009F579E" w:rsidRDefault="009F579E" w:rsidP="009F579E">
    <w:pPr>
      <w:pStyle w:val="Pieddepage"/>
      <w:jc w:val="right"/>
      <w:rPr>
        <w:sz w:val="20"/>
      </w:rPr>
    </w:pPr>
    <w:r w:rsidRPr="009F579E">
      <w:rPr>
        <w:sz w:val="20"/>
      </w:rPr>
      <w:t>Collaborateur : A.SCHNELL</w:t>
    </w:r>
    <w:r w:rsidRPr="009F579E">
      <w:rPr>
        <w:sz w:val="20"/>
      </w:rPr>
      <w:tab/>
    </w:r>
    <w:r w:rsidRPr="009F579E">
      <w:rPr>
        <w:sz w:val="20"/>
      </w:rPr>
      <w:tab/>
      <w:t xml:space="preserve">Page </w:t>
    </w:r>
    <w:r w:rsidRPr="009F579E">
      <w:rPr>
        <w:b/>
        <w:bCs/>
        <w:sz w:val="20"/>
      </w:rPr>
      <w:fldChar w:fldCharType="begin"/>
    </w:r>
    <w:r w:rsidRPr="009F579E">
      <w:rPr>
        <w:b/>
        <w:bCs/>
        <w:sz w:val="20"/>
      </w:rPr>
      <w:instrText>PAGE  \* Arabic  \* MERGEFORMAT</w:instrText>
    </w:r>
    <w:r w:rsidRPr="009F579E">
      <w:rPr>
        <w:b/>
        <w:bCs/>
        <w:sz w:val="20"/>
      </w:rPr>
      <w:fldChar w:fldCharType="separate"/>
    </w:r>
    <w:r>
      <w:rPr>
        <w:b/>
        <w:bCs/>
        <w:noProof/>
        <w:sz w:val="20"/>
      </w:rPr>
      <w:t>3</w:t>
    </w:r>
    <w:r w:rsidRPr="009F579E">
      <w:rPr>
        <w:b/>
        <w:bCs/>
        <w:sz w:val="20"/>
      </w:rPr>
      <w:fldChar w:fldCharType="end"/>
    </w:r>
    <w:r w:rsidRPr="009F579E">
      <w:rPr>
        <w:sz w:val="20"/>
      </w:rPr>
      <w:t xml:space="preserve"> sur </w:t>
    </w:r>
    <w:r w:rsidRPr="009F579E">
      <w:rPr>
        <w:b/>
        <w:bCs/>
        <w:sz w:val="20"/>
      </w:rPr>
      <w:fldChar w:fldCharType="begin"/>
    </w:r>
    <w:r w:rsidRPr="009F579E">
      <w:rPr>
        <w:b/>
        <w:bCs/>
        <w:sz w:val="20"/>
      </w:rPr>
      <w:instrText>NUMPAGES  \* Arabic  \* MERGEFORMAT</w:instrText>
    </w:r>
    <w:r w:rsidRPr="009F579E">
      <w:rPr>
        <w:b/>
        <w:bCs/>
        <w:sz w:val="20"/>
      </w:rPr>
      <w:fldChar w:fldCharType="separate"/>
    </w:r>
    <w:r>
      <w:rPr>
        <w:b/>
        <w:bCs/>
        <w:noProof/>
        <w:sz w:val="20"/>
      </w:rPr>
      <w:t>5</w:t>
    </w:r>
    <w:r w:rsidRPr="009F579E">
      <w:rPr>
        <w:b/>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9FD" w:rsidRDefault="006469FD" w:rsidP="005217B0">
      <w:pPr>
        <w:spacing w:after="0" w:line="240" w:lineRule="auto"/>
      </w:pPr>
      <w:r>
        <w:separator/>
      </w:r>
    </w:p>
  </w:footnote>
  <w:footnote w:type="continuationSeparator" w:id="0">
    <w:p w:rsidR="006469FD" w:rsidRDefault="006469FD" w:rsidP="005217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7B0" w:rsidRPr="009F579E" w:rsidRDefault="005217B0">
    <w:pPr>
      <w:pStyle w:val="En-tte"/>
      <w:rPr>
        <w:color w:val="5B9BD5" w:themeColor="accent1"/>
        <w:sz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5217B0">
      <w:rPr>
        <w:color w:val="5B9BD5" w:themeColor="accent1"/>
        <w:sz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HEOH </w:t>
    </w:r>
    <w:r w:rsidRPr="009F579E">
      <w:rPr>
        <w:color w:val="5B9BD5" w:themeColor="accent1"/>
        <w:sz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Contrôle Interne </w:t>
    </w:r>
    <w:r w:rsidRPr="009F579E">
      <w:rPr>
        <w:color w:val="5B9BD5" w:themeColor="accent1"/>
        <w:sz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
    </w:r>
    <w:r w:rsidRPr="009F579E">
      <w:rPr>
        <w:color w:val="5B9BD5" w:themeColor="accent1"/>
        <w:sz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97FBD"/>
    <w:multiLevelType w:val="multilevel"/>
    <w:tmpl w:val="8EE6B4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D137B6"/>
    <w:multiLevelType w:val="multilevel"/>
    <w:tmpl w:val="EEACE5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6F7E14"/>
    <w:multiLevelType w:val="multilevel"/>
    <w:tmpl w:val="5816C9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060D4F"/>
    <w:multiLevelType w:val="multilevel"/>
    <w:tmpl w:val="A1605C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3A81BED"/>
    <w:multiLevelType w:val="multilevel"/>
    <w:tmpl w:val="FA6A6B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201ADE"/>
    <w:multiLevelType w:val="multilevel"/>
    <w:tmpl w:val="C8D40A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8A7AAE"/>
    <w:multiLevelType w:val="multilevel"/>
    <w:tmpl w:val="57EC59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E9A10FD"/>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8" w15:restartNumberingAfterBreak="0">
    <w:nsid w:val="2FCA1766"/>
    <w:multiLevelType w:val="multilevel"/>
    <w:tmpl w:val="B5006B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12097C"/>
    <w:multiLevelType w:val="multilevel"/>
    <w:tmpl w:val="217E2E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911D6D"/>
    <w:multiLevelType w:val="multilevel"/>
    <w:tmpl w:val="170C9C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CA1A2A"/>
    <w:multiLevelType w:val="multilevel"/>
    <w:tmpl w:val="D1985C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55B252F"/>
    <w:multiLevelType w:val="multilevel"/>
    <w:tmpl w:val="90E647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B9346FB"/>
    <w:multiLevelType w:val="multilevel"/>
    <w:tmpl w:val="B08EB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CB7750F"/>
    <w:multiLevelType w:val="multilevel"/>
    <w:tmpl w:val="3642D7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5ED5E06"/>
    <w:multiLevelType w:val="multilevel"/>
    <w:tmpl w:val="B8344D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9C70B7B"/>
    <w:multiLevelType w:val="multilevel"/>
    <w:tmpl w:val="3FE0DB8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50632B13"/>
    <w:multiLevelType w:val="multilevel"/>
    <w:tmpl w:val="48983B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1D50F7C"/>
    <w:multiLevelType w:val="multilevel"/>
    <w:tmpl w:val="5BC406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3DB3D9C"/>
    <w:multiLevelType w:val="hybridMultilevel"/>
    <w:tmpl w:val="7C8C68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9CD43EC"/>
    <w:multiLevelType w:val="multilevel"/>
    <w:tmpl w:val="CADAB6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5262D01"/>
    <w:multiLevelType w:val="multilevel"/>
    <w:tmpl w:val="9874FE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25E5FAD"/>
    <w:multiLevelType w:val="multilevel"/>
    <w:tmpl w:val="7F0EDF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9AE5FCF"/>
    <w:multiLevelType w:val="hybridMultilevel"/>
    <w:tmpl w:val="4D727034"/>
    <w:lvl w:ilvl="0" w:tplc="6A326E7E">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A0E4D17"/>
    <w:multiLevelType w:val="multilevel"/>
    <w:tmpl w:val="518CD4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3"/>
    <w:lvlOverride w:ilvl="0"/>
    <w:lvlOverride w:ilvl="1"/>
    <w:lvlOverride w:ilvl="2"/>
    <w:lvlOverride w:ilvl="3"/>
    <w:lvlOverride w:ilvl="4"/>
    <w:lvlOverride w:ilvl="5"/>
    <w:lvlOverride w:ilvl="6"/>
    <w:lvlOverride w:ilvl="7"/>
    <w:lvlOverride w:ilvl="8"/>
  </w:num>
  <w:num w:numId="2">
    <w:abstractNumId w:val="8"/>
    <w:lvlOverride w:ilvl="0"/>
    <w:lvlOverride w:ilvl="1"/>
    <w:lvlOverride w:ilvl="2"/>
    <w:lvlOverride w:ilvl="3"/>
    <w:lvlOverride w:ilvl="4"/>
    <w:lvlOverride w:ilvl="5"/>
    <w:lvlOverride w:ilvl="6"/>
    <w:lvlOverride w:ilvl="7"/>
    <w:lvlOverride w:ilvl="8"/>
  </w:num>
  <w:num w:numId="3">
    <w:abstractNumId w:val="22"/>
    <w:lvlOverride w:ilvl="0"/>
    <w:lvlOverride w:ilvl="1"/>
    <w:lvlOverride w:ilvl="2"/>
    <w:lvlOverride w:ilvl="3"/>
    <w:lvlOverride w:ilvl="4"/>
    <w:lvlOverride w:ilvl="5"/>
    <w:lvlOverride w:ilvl="6"/>
    <w:lvlOverride w:ilvl="7"/>
    <w:lvlOverride w:ilvl="8"/>
  </w:num>
  <w:num w:numId="4">
    <w:abstractNumId w:val="10"/>
    <w:lvlOverride w:ilvl="0"/>
    <w:lvlOverride w:ilvl="1"/>
    <w:lvlOverride w:ilvl="2"/>
    <w:lvlOverride w:ilvl="3"/>
    <w:lvlOverride w:ilvl="4"/>
    <w:lvlOverride w:ilvl="5"/>
    <w:lvlOverride w:ilvl="6"/>
    <w:lvlOverride w:ilvl="7"/>
    <w:lvlOverride w:ilvl="8"/>
  </w:num>
  <w:num w:numId="5">
    <w:abstractNumId w:val="0"/>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20"/>
    <w:lvlOverride w:ilvl="0"/>
    <w:lvlOverride w:ilvl="1"/>
    <w:lvlOverride w:ilvl="2"/>
    <w:lvlOverride w:ilvl="3"/>
    <w:lvlOverride w:ilvl="4"/>
    <w:lvlOverride w:ilvl="5"/>
    <w:lvlOverride w:ilvl="6"/>
    <w:lvlOverride w:ilvl="7"/>
    <w:lvlOverride w:ilvl="8"/>
  </w:num>
  <w:num w:numId="8">
    <w:abstractNumId w:val="4"/>
    <w:lvlOverride w:ilvl="0"/>
    <w:lvlOverride w:ilvl="1"/>
    <w:lvlOverride w:ilvl="2"/>
    <w:lvlOverride w:ilvl="3"/>
    <w:lvlOverride w:ilvl="4"/>
    <w:lvlOverride w:ilvl="5"/>
    <w:lvlOverride w:ilvl="6"/>
    <w:lvlOverride w:ilvl="7"/>
    <w:lvlOverride w:ilvl="8"/>
  </w:num>
  <w:num w:numId="9">
    <w:abstractNumId w:val="18"/>
    <w:lvlOverride w:ilvl="0"/>
    <w:lvlOverride w:ilvl="1"/>
    <w:lvlOverride w:ilvl="2"/>
    <w:lvlOverride w:ilvl="3"/>
    <w:lvlOverride w:ilvl="4"/>
    <w:lvlOverride w:ilvl="5"/>
    <w:lvlOverride w:ilvl="6"/>
    <w:lvlOverride w:ilvl="7"/>
    <w:lvlOverride w:ilvl="8"/>
  </w:num>
  <w:num w:numId="10">
    <w:abstractNumId w:val="12"/>
    <w:lvlOverride w:ilvl="0"/>
    <w:lvlOverride w:ilvl="1"/>
    <w:lvlOverride w:ilvl="2"/>
    <w:lvlOverride w:ilvl="3"/>
    <w:lvlOverride w:ilvl="4"/>
    <w:lvlOverride w:ilvl="5"/>
    <w:lvlOverride w:ilvl="6"/>
    <w:lvlOverride w:ilvl="7"/>
    <w:lvlOverride w:ilvl="8"/>
  </w:num>
  <w:num w:numId="11">
    <w:abstractNumId w:val="15"/>
    <w:lvlOverride w:ilvl="0"/>
    <w:lvlOverride w:ilvl="1"/>
    <w:lvlOverride w:ilvl="2"/>
    <w:lvlOverride w:ilvl="3"/>
    <w:lvlOverride w:ilvl="4"/>
    <w:lvlOverride w:ilvl="5"/>
    <w:lvlOverride w:ilvl="6"/>
    <w:lvlOverride w:ilvl="7"/>
    <w:lvlOverride w:ilvl="8"/>
  </w:num>
  <w:num w:numId="12">
    <w:abstractNumId w:val="1"/>
    <w:lvlOverride w:ilvl="0"/>
    <w:lvlOverride w:ilvl="1"/>
    <w:lvlOverride w:ilvl="2"/>
    <w:lvlOverride w:ilvl="3"/>
    <w:lvlOverride w:ilvl="4"/>
    <w:lvlOverride w:ilvl="5"/>
    <w:lvlOverride w:ilvl="6"/>
    <w:lvlOverride w:ilvl="7"/>
    <w:lvlOverride w:ilvl="8"/>
  </w:num>
  <w:num w:numId="13">
    <w:abstractNumId w:val="5"/>
    <w:lvlOverride w:ilvl="0"/>
    <w:lvlOverride w:ilvl="1"/>
    <w:lvlOverride w:ilvl="2"/>
    <w:lvlOverride w:ilvl="3"/>
    <w:lvlOverride w:ilvl="4"/>
    <w:lvlOverride w:ilvl="5"/>
    <w:lvlOverride w:ilvl="6"/>
    <w:lvlOverride w:ilvl="7"/>
    <w:lvlOverride w:ilvl="8"/>
  </w:num>
  <w:num w:numId="14">
    <w:abstractNumId w:val="21"/>
    <w:lvlOverride w:ilvl="0"/>
    <w:lvlOverride w:ilvl="1"/>
    <w:lvlOverride w:ilvl="2"/>
    <w:lvlOverride w:ilvl="3"/>
    <w:lvlOverride w:ilvl="4"/>
    <w:lvlOverride w:ilvl="5"/>
    <w:lvlOverride w:ilvl="6"/>
    <w:lvlOverride w:ilvl="7"/>
    <w:lvlOverride w:ilvl="8"/>
  </w:num>
  <w:num w:numId="15">
    <w:abstractNumId w:val="6"/>
    <w:lvlOverride w:ilvl="0"/>
    <w:lvlOverride w:ilvl="1"/>
    <w:lvlOverride w:ilvl="2"/>
    <w:lvlOverride w:ilvl="3"/>
    <w:lvlOverride w:ilvl="4"/>
    <w:lvlOverride w:ilvl="5"/>
    <w:lvlOverride w:ilvl="6"/>
    <w:lvlOverride w:ilvl="7"/>
    <w:lvlOverride w:ilvl="8"/>
  </w:num>
  <w:num w:numId="16">
    <w:abstractNumId w:val="2"/>
    <w:lvlOverride w:ilvl="0"/>
    <w:lvlOverride w:ilvl="1"/>
    <w:lvlOverride w:ilvl="2"/>
    <w:lvlOverride w:ilvl="3"/>
    <w:lvlOverride w:ilvl="4"/>
    <w:lvlOverride w:ilvl="5"/>
    <w:lvlOverride w:ilvl="6"/>
    <w:lvlOverride w:ilvl="7"/>
    <w:lvlOverride w:ilvl="8"/>
  </w:num>
  <w:num w:numId="17">
    <w:abstractNumId w:val="17"/>
    <w:lvlOverride w:ilvl="0"/>
    <w:lvlOverride w:ilvl="1"/>
    <w:lvlOverride w:ilvl="2"/>
    <w:lvlOverride w:ilvl="3"/>
    <w:lvlOverride w:ilvl="4"/>
    <w:lvlOverride w:ilvl="5"/>
    <w:lvlOverride w:ilvl="6"/>
    <w:lvlOverride w:ilvl="7"/>
    <w:lvlOverride w:ilvl="8"/>
  </w:num>
  <w:num w:numId="18">
    <w:abstractNumId w:val="9"/>
    <w:lvlOverride w:ilvl="0"/>
    <w:lvlOverride w:ilvl="1"/>
    <w:lvlOverride w:ilvl="2"/>
    <w:lvlOverride w:ilvl="3"/>
    <w:lvlOverride w:ilvl="4"/>
    <w:lvlOverride w:ilvl="5"/>
    <w:lvlOverride w:ilvl="6"/>
    <w:lvlOverride w:ilvl="7"/>
    <w:lvlOverride w:ilvl="8"/>
  </w:num>
  <w:num w:numId="19">
    <w:abstractNumId w:val="11"/>
    <w:lvlOverride w:ilvl="0"/>
    <w:lvlOverride w:ilvl="1"/>
    <w:lvlOverride w:ilvl="2"/>
    <w:lvlOverride w:ilvl="3"/>
    <w:lvlOverride w:ilvl="4"/>
    <w:lvlOverride w:ilvl="5"/>
    <w:lvlOverride w:ilvl="6"/>
    <w:lvlOverride w:ilvl="7"/>
    <w:lvlOverride w:ilvl="8"/>
  </w:num>
  <w:num w:numId="20">
    <w:abstractNumId w:val="24"/>
    <w:lvlOverride w:ilvl="0"/>
    <w:lvlOverride w:ilvl="1"/>
    <w:lvlOverride w:ilvl="2"/>
    <w:lvlOverride w:ilvl="3"/>
    <w:lvlOverride w:ilvl="4"/>
    <w:lvlOverride w:ilvl="5"/>
    <w:lvlOverride w:ilvl="6"/>
    <w:lvlOverride w:ilvl="7"/>
    <w:lvlOverride w:ilvl="8"/>
  </w:num>
  <w:num w:numId="21">
    <w:abstractNumId w:val="14"/>
    <w:lvlOverride w:ilvl="0"/>
    <w:lvlOverride w:ilvl="1"/>
    <w:lvlOverride w:ilvl="2"/>
    <w:lvlOverride w:ilvl="3"/>
    <w:lvlOverride w:ilvl="4"/>
    <w:lvlOverride w:ilvl="5"/>
    <w:lvlOverride w:ilvl="6"/>
    <w:lvlOverride w:ilvl="7"/>
    <w:lvlOverride w:ilvl="8"/>
  </w:num>
  <w:num w:numId="22">
    <w:abstractNumId w:val="16"/>
  </w:num>
  <w:num w:numId="23">
    <w:abstractNumId w:val="7"/>
  </w:num>
  <w:num w:numId="24">
    <w:abstractNumId w:val="19"/>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F77"/>
    <w:rsid w:val="00075F77"/>
    <w:rsid w:val="00126E3C"/>
    <w:rsid w:val="002266D0"/>
    <w:rsid w:val="00241CC2"/>
    <w:rsid w:val="003D1D6C"/>
    <w:rsid w:val="003D62F6"/>
    <w:rsid w:val="00424761"/>
    <w:rsid w:val="00447BAD"/>
    <w:rsid w:val="005217B0"/>
    <w:rsid w:val="006469FD"/>
    <w:rsid w:val="009E2B6D"/>
    <w:rsid w:val="009F579E"/>
    <w:rsid w:val="00A16505"/>
    <w:rsid w:val="00A222B1"/>
    <w:rsid w:val="00AE2AA1"/>
    <w:rsid w:val="00D106A1"/>
    <w:rsid w:val="00DD7E0D"/>
    <w:rsid w:val="00E6498F"/>
    <w:rsid w:val="00EA4A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DD0083"/>
  <w15:chartTrackingRefBased/>
  <w15:docId w15:val="{143F6654-FC66-436C-ABD4-76E19B862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2AA1"/>
    <w:pPr>
      <w:spacing w:after="200" w:line="276" w:lineRule="auto"/>
    </w:pPr>
    <w:rPr>
      <w:rFonts w:eastAsiaTheme="minorEastAsia"/>
    </w:rPr>
  </w:style>
  <w:style w:type="paragraph" w:styleId="Titre1">
    <w:name w:val="heading 1"/>
    <w:basedOn w:val="Normal"/>
    <w:next w:val="Normal"/>
    <w:link w:val="Titre1Car"/>
    <w:uiPriority w:val="9"/>
    <w:qFormat/>
    <w:rsid w:val="00AE2AA1"/>
    <w:pPr>
      <w:keepNext/>
      <w:keepLines/>
      <w:numPr>
        <w:numId w:val="23"/>
      </w:numPr>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Titre2">
    <w:name w:val="heading 2"/>
    <w:basedOn w:val="Normal"/>
    <w:next w:val="Normal"/>
    <w:link w:val="Titre2Car"/>
    <w:uiPriority w:val="9"/>
    <w:unhideWhenUsed/>
    <w:qFormat/>
    <w:rsid w:val="00AE2AA1"/>
    <w:pPr>
      <w:keepNext/>
      <w:keepLines/>
      <w:numPr>
        <w:ilvl w:val="1"/>
        <w:numId w:val="23"/>
      </w:numPr>
      <w:spacing w:before="200" w:after="0"/>
      <w:outlineLvl w:val="1"/>
    </w:pPr>
    <w:rPr>
      <w:rFonts w:asciiTheme="majorHAnsi" w:eastAsiaTheme="majorEastAsia" w:hAnsiTheme="majorHAnsi" w:cstheme="majorBidi"/>
      <w:b/>
      <w:bCs/>
      <w:color w:val="5B9BD5" w:themeColor="accent1"/>
      <w:sz w:val="26"/>
      <w:szCs w:val="26"/>
    </w:rPr>
  </w:style>
  <w:style w:type="paragraph" w:styleId="Titre3">
    <w:name w:val="heading 3"/>
    <w:basedOn w:val="Normal"/>
    <w:next w:val="Normal"/>
    <w:link w:val="Titre3Car"/>
    <w:uiPriority w:val="9"/>
    <w:unhideWhenUsed/>
    <w:qFormat/>
    <w:rsid w:val="00424761"/>
    <w:pPr>
      <w:keepNext/>
      <w:keepLines/>
      <w:numPr>
        <w:ilvl w:val="2"/>
        <w:numId w:val="23"/>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447BAD"/>
    <w:pPr>
      <w:keepNext/>
      <w:keepLines/>
      <w:numPr>
        <w:ilvl w:val="3"/>
        <w:numId w:val="23"/>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447BAD"/>
    <w:pPr>
      <w:keepNext/>
      <w:keepLines/>
      <w:numPr>
        <w:ilvl w:val="4"/>
        <w:numId w:val="23"/>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447BAD"/>
    <w:pPr>
      <w:keepNext/>
      <w:keepLines/>
      <w:numPr>
        <w:ilvl w:val="5"/>
        <w:numId w:val="23"/>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447BAD"/>
    <w:pPr>
      <w:keepNext/>
      <w:keepLines/>
      <w:numPr>
        <w:ilvl w:val="6"/>
        <w:numId w:val="23"/>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447BAD"/>
    <w:pPr>
      <w:keepNext/>
      <w:keepLines/>
      <w:numPr>
        <w:ilvl w:val="7"/>
        <w:numId w:val="2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447BAD"/>
    <w:pPr>
      <w:keepNext/>
      <w:keepLines/>
      <w:numPr>
        <w:ilvl w:val="8"/>
        <w:numId w:val="2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E2AA1"/>
    <w:rPr>
      <w:rFonts w:asciiTheme="majorHAnsi" w:eastAsiaTheme="majorEastAsia" w:hAnsiTheme="majorHAnsi" w:cstheme="majorBidi"/>
      <w:b/>
      <w:bCs/>
      <w:color w:val="2E74B5" w:themeColor="accent1" w:themeShade="BF"/>
      <w:sz w:val="28"/>
      <w:szCs w:val="28"/>
      <w:lang w:val="en-US"/>
    </w:rPr>
  </w:style>
  <w:style w:type="character" w:customStyle="1" w:styleId="Titre2Car">
    <w:name w:val="Titre 2 Car"/>
    <w:basedOn w:val="Policepardfaut"/>
    <w:link w:val="Titre2"/>
    <w:uiPriority w:val="9"/>
    <w:rsid w:val="00AE2AA1"/>
    <w:rPr>
      <w:rFonts w:asciiTheme="majorHAnsi" w:eastAsiaTheme="majorEastAsia" w:hAnsiTheme="majorHAnsi" w:cstheme="majorBidi"/>
      <w:b/>
      <w:bCs/>
      <w:color w:val="5B9BD5" w:themeColor="accent1"/>
      <w:sz w:val="26"/>
      <w:szCs w:val="26"/>
      <w:lang w:val="en-US"/>
    </w:rPr>
  </w:style>
  <w:style w:type="paragraph" w:styleId="Titre">
    <w:name w:val="Title"/>
    <w:basedOn w:val="Normal"/>
    <w:next w:val="Normal"/>
    <w:link w:val="TitreCar"/>
    <w:uiPriority w:val="10"/>
    <w:qFormat/>
    <w:rsid w:val="00AE2AA1"/>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reCar">
    <w:name w:val="Titre Car"/>
    <w:basedOn w:val="Policepardfaut"/>
    <w:link w:val="Titre"/>
    <w:uiPriority w:val="10"/>
    <w:rsid w:val="00AE2AA1"/>
    <w:rPr>
      <w:rFonts w:asciiTheme="majorHAnsi" w:eastAsiaTheme="majorEastAsia" w:hAnsiTheme="majorHAnsi" w:cstheme="majorBidi"/>
      <w:color w:val="323E4F" w:themeColor="text2" w:themeShade="BF"/>
      <w:spacing w:val="5"/>
      <w:kern w:val="28"/>
      <w:sz w:val="52"/>
      <w:szCs w:val="52"/>
      <w:lang w:val="en-US"/>
    </w:rPr>
  </w:style>
  <w:style w:type="character" w:customStyle="1" w:styleId="Titre3Car">
    <w:name w:val="Titre 3 Car"/>
    <w:basedOn w:val="Policepardfaut"/>
    <w:link w:val="Titre3"/>
    <w:uiPriority w:val="9"/>
    <w:rsid w:val="00424761"/>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447BAD"/>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447BAD"/>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447BAD"/>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447BAD"/>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447BAD"/>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447BAD"/>
    <w:rPr>
      <w:rFonts w:asciiTheme="majorHAnsi" w:eastAsiaTheme="majorEastAsia" w:hAnsiTheme="majorHAnsi" w:cstheme="majorBidi"/>
      <w:i/>
      <w:iCs/>
      <w:color w:val="272727" w:themeColor="text1" w:themeTint="D8"/>
      <w:sz w:val="21"/>
      <w:szCs w:val="21"/>
    </w:rPr>
  </w:style>
  <w:style w:type="paragraph" w:styleId="En-tte">
    <w:name w:val="header"/>
    <w:basedOn w:val="Normal"/>
    <w:link w:val="En-tteCar"/>
    <w:uiPriority w:val="99"/>
    <w:unhideWhenUsed/>
    <w:rsid w:val="005217B0"/>
    <w:pPr>
      <w:tabs>
        <w:tab w:val="center" w:pos="4536"/>
        <w:tab w:val="right" w:pos="9072"/>
      </w:tabs>
      <w:spacing w:after="0" w:line="240" w:lineRule="auto"/>
    </w:pPr>
  </w:style>
  <w:style w:type="character" w:customStyle="1" w:styleId="En-tteCar">
    <w:name w:val="En-tête Car"/>
    <w:basedOn w:val="Policepardfaut"/>
    <w:link w:val="En-tte"/>
    <w:uiPriority w:val="99"/>
    <w:rsid w:val="005217B0"/>
    <w:rPr>
      <w:rFonts w:eastAsiaTheme="minorEastAsia"/>
    </w:rPr>
  </w:style>
  <w:style w:type="paragraph" w:styleId="Pieddepage">
    <w:name w:val="footer"/>
    <w:basedOn w:val="Normal"/>
    <w:link w:val="PieddepageCar"/>
    <w:uiPriority w:val="99"/>
    <w:unhideWhenUsed/>
    <w:rsid w:val="005217B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17B0"/>
    <w:rPr>
      <w:rFonts w:eastAsiaTheme="minorEastAsia"/>
    </w:rPr>
  </w:style>
  <w:style w:type="paragraph" w:styleId="Paragraphedeliste">
    <w:name w:val="List Paragraph"/>
    <w:basedOn w:val="Normal"/>
    <w:uiPriority w:val="34"/>
    <w:qFormat/>
    <w:rsid w:val="00EA4A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734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EDCC5E-66B9-47F1-BA05-2F66B5508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5</Pages>
  <Words>899</Words>
  <Characters>4947</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SCHNELL</dc:creator>
  <cp:keywords/>
  <dc:description/>
  <cp:lastModifiedBy>Aurélie SCHNELL</cp:lastModifiedBy>
  <cp:revision>11</cp:revision>
  <dcterms:created xsi:type="dcterms:W3CDTF">2025-09-12T08:49:00Z</dcterms:created>
  <dcterms:modified xsi:type="dcterms:W3CDTF">2025-09-12T12:15:00Z</dcterms:modified>
</cp:coreProperties>
</file>